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96773" w14:textId="77777777" w:rsidR="00757C78" w:rsidRDefault="00AD1C4A" w:rsidP="00863987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D91251">
        <w:rPr>
          <w:rFonts w:cstheme="minorHAnsi"/>
          <w:b/>
          <w:sz w:val="24"/>
          <w:szCs w:val="24"/>
          <w:u w:val="single"/>
        </w:rPr>
        <w:t xml:space="preserve">Ogólne zasady dotyczące </w:t>
      </w:r>
      <w:r w:rsidR="005524A9" w:rsidRPr="00D91251">
        <w:rPr>
          <w:rFonts w:cstheme="minorHAnsi"/>
          <w:b/>
          <w:sz w:val="24"/>
          <w:szCs w:val="24"/>
          <w:u w:val="single"/>
        </w:rPr>
        <w:t>przyjęć pacjentów</w:t>
      </w:r>
      <w:r w:rsidRPr="00D91251">
        <w:rPr>
          <w:rFonts w:cstheme="minorHAnsi"/>
          <w:b/>
          <w:sz w:val="24"/>
          <w:szCs w:val="24"/>
          <w:u w:val="single"/>
        </w:rPr>
        <w:t xml:space="preserve"> do oddziałów stacjonarnych i dziennych</w:t>
      </w:r>
      <w:r w:rsidR="00D91251" w:rsidRPr="00D91251">
        <w:rPr>
          <w:rFonts w:cstheme="minorHAnsi"/>
          <w:b/>
          <w:sz w:val="24"/>
          <w:szCs w:val="24"/>
          <w:u w:val="single"/>
        </w:rPr>
        <w:t xml:space="preserve"> </w:t>
      </w:r>
      <w:r w:rsidR="00863987">
        <w:rPr>
          <w:rFonts w:cstheme="minorHAnsi"/>
          <w:b/>
          <w:sz w:val="24"/>
          <w:szCs w:val="24"/>
          <w:u w:val="single"/>
        </w:rPr>
        <w:br/>
      </w:r>
      <w:r w:rsidRPr="00D91251">
        <w:rPr>
          <w:rFonts w:cstheme="minorHAnsi"/>
          <w:b/>
          <w:sz w:val="24"/>
          <w:szCs w:val="24"/>
          <w:u w:val="single"/>
        </w:rPr>
        <w:t xml:space="preserve">Szpitala </w:t>
      </w:r>
      <w:r w:rsidR="00863987" w:rsidRPr="00D91251">
        <w:rPr>
          <w:rFonts w:cstheme="minorHAnsi"/>
          <w:b/>
          <w:sz w:val="24"/>
          <w:szCs w:val="24"/>
          <w:u w:val="single"/>
        </w:rPr>
        <w:t>Klinicznego im</w:t>
      </w:r>
      <w:r w:rsidRPr="00D91251">
        <w:rPr>
          <w:rFonts w:cstheme="minorHAnsi"/>
          <w:b/>
          <w:sz w:val="24"/>
          <w:szCs w:val="24"/>
          <w:u w:val="single"/>
        </w:rPr>
        <w:t>. dr. J. Babińskiego SP ZOZ w Krakowie</w:t>
      </w:r>
    </w:p>
    <w:p w14:paraId="05728365" w14:textId="77777777" w:rsidR="00863987" w:rsidRPr="00D91251" w:rsidRDefault="00863987" w:rsidP="00863987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15275A4A" w14:textId="77777777" w:rsidR="00B84AD1" w:rsidRPr="00D91251" w:rsidRDefault="00302D18" w:rsidP="00D91251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 xml:space="preserve"> Procedura przyjęcia pacjenta</w:t>
      </w:r>
      <w:r w:rsidR="00AD1C4A" w:rsidRPr="00D91251">
        <w:rPr>
          <w:rFonts w:cstheme="minorHAnsi"/>
          <w:sz w:val="24"/>
          <w:szCs w:val="24"/>
        </w:rPr>
        <w:t xml:space="preserve"> do oddziałów stacjonarnych  i dziennyc</w:t>
      </w:r>
      <w:r w:rsidR="00757C78" w:rsidRPr="00D91251">
        <w:rPr>
          <w:rFonts w:cstheme="minorHAnsi"/>
          <w:sz w:val="24"/>
          <w:szCs w:val="24"/>
        </w:rPr>
        <w:t>h Szpitala Babińskiego odbywają </w:t>
      </w:r>
      <w:r w:rsidR="00AD1C4A" w:rsidRPr="00D91251">
        <w:rPr>
          <w:rFonts w:cstheme="minorHAnsi"/>
          <w:sz w:val="24"/>
          <w:szCs w:val="24"/>
        </w:rPr>
        <w:t>się:</w:t>
      </w:r>
    </w:p>
    <w:p w14:paraId="21BF7CE3" w14:textId="77777777" w:rsidR="00AD1C4A" w:rsidRPr="00D91251" w:rsidRDefault="00AD1C4A" w:rsidP="00D91251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w Izbie Przejęć (wszystkie oddziały niewymienione poniżej),</w:t>
      </w:r>
    </w:p>
    <w:p w14:paraId="4A26C630" w14:textId="1D858DFE" w:rsidR="00AD1C4A" w:rsidRDefault="00AD1C4A" w:rsidP="00D91251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w następujących oddziałach</w:t>
      </w:r>
      <w:r w:rsidR="003B6F2A">
        <w:rPr>
          <w:rFonts w:cstheme="minorHAnsi"/>
          <w:sz w:val="24"/>
          <w:szCs w:val="24"/>
        </w:rPr>
        <w:t xml:space="preserve"> podczas kwalifikac</w:t>
      </w:r>
      <w:bookmarkStart w:id="0" w:name="_GoBack"/>
      <w:bookmarkEnd w:id="0"/>
      <w:r w:rsidR="003B6F2A">
        <w:rPr>
          <w:rFonts w:cstheme="minorHAnsi"/>
          <w:sz w:val="24"/>
          <w:szCs w:val="24"/>
        </w:rPr>
        <w:t>ji, określonych osobnymi zasadami</w:t>
      </w:r>
      <w:r w:rsidRPr="00D91251">
        <w:rPr>
          <w:rFonts w:cstheme="minorHAnsi"/>
          <w:sz w:val="24"/>
          <w:szCs w:val="24"/>
        </w:rPr>
        <w:t>:</w:t>
      </w:r>
    </w:p>
    <w:p w14:paraId="4C8E0258" w14:textId="77777777" w:rsidR="00D91251" w:rsidRPr="00D91251" w:rsidRDefault="00863987" w:rsidP="00D91251">
      <w:pPr>
        <w:pStyle w:val="Akapitzlist"/>
        <w:spacing w:after="0"/>
        <w:ind w:left="1776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Oddziały stacjonarne </w:t>
      </w:r>
    </w:p>
    <w:p w14:paraId="7EFCBAD0" w14:textId="77777777" w:rsidR="00E64258" w:rsidRPr="00D91251" w:rsidRDefault="00E64258" w:rsidP="00D91251">
      <w:pPr>
        <w:pStyle w:val="ust"/>
        <w:numPr>
          <w:ilvl w:val="0"/>
          <w:numId w:val="4"/>
        </w:numPr>
        <w:tabs>
          <w:tab w:val="left" w:pos="330"/>
        </w:tabs>
        <w:spacing w:before="0" w:after="0" w:line="240" w:lineRule="auto"/>
        <w:rPr>
          <w:rFonts w:asciiTheme="minorHAnsi" w:hAnsiTheme="minorHAnsi" w:cstheme="minorHAnsi"/>
        </w:rPr>
      </w:pPr>
      <w:bookmarkStart w:id="1" w:name="_Hlk118643673"/>
      <w:r w:rsidRPr="00D91251">
        <w:rPr>
          <w:rFonts w:asciiTheme="minorHAnsi" w:hAnsiTheme="minorHAnsi" w:cstheme="minorHAnsi"/>
        </w:rPr>
        <w:t>Oddział Psychiatryczny Rehabilitacyjny,</w:t>
      </w:r>
    </w:p>
    <w:p w14:paraId="4097BD64" w14:textId="77777777" w:rsidR="00E64258" w:rsidRPr="00D91251" w:rsidRDefault="00E64258" w:rsidP="00D91251">
      <w:pPr>
        <w:pStyle w:val="ust"/>
        <w:numPr>
          <w:ilvl w:val="0"/>
          <w:numId w:val="4"/>
        </w:numPr>
        <w:spacing w:before="0" w:after="0" w:line="240" w:lineRule="auto"/>
        <w:rPr>
          <w:rFonts w:asciiTheme="minorHAnsi" w:hAnsiTheme="minorHAnsi" w:cstheme="minorHAnsi"/>
        </w:rPr>
      </w:pPr>
      <w:r w:rsidRPr="00D91251">
        <w:rPr>
          <w:rFonts w:asciiTheme="minorHAnsi" w:hAnsiTheme="minorHAnsi" w:cstheme="minorHAnsi"/>
        </w:rPr>
        <w:t>Oddział Rehabilitacji dla Uzależnionych od Substancji Psychoaktywnych ze Współistniejącymi Zaburzeniami Psychicznymi,</w:t>
      </w:r>
    </w:p>
    <w:p w14:paraId="18497AAD" w14:textId="77777777" w:rsidR="00E64258" w:rsidRPr="00D91251" w:rsidRDefault="00E64258" w:rsidP="00D91251">
      <w:pPr>
        <w:pStyle w:val="ust"/>
        <w:numPr>
          <w:ilvl w:val="0"/>
          <w:numId w:val="4"/>
        </w:numPr>
        <w:tabs>
          <w:tab w:val="left" w:pos="330"/>
        </w:tabs>
        <w:spacing w:before="0" w:after="0" w:line="240" w:lineRule="auto"/>
        <w:rPr>
          <w:rFonts w:asciiTheme="minorHAnsi" w:hAnsiTheme="minorHAnsi" w:cstheme="minorHAnsi"/>
        </w:rPr>
      </w:pPr>
      <w:r w:rsidRPr="00D91251">
        <w:rPr>
          <w:rFonts w:asciiTheme="minorHAnsi" w:hAnsiTheme="minorHAnsi" w:cstheme="minorHAnsi"/>
        </w:rPr>
        <w:t>Oddział Leczenia Zaburzeń Osobowości i Nerwic,</w:t>
      </w:r>
    </w:p>
    <w:p w14:paraId="55F3EE0D" w14:textId="77777777" w:rsidR="00E64258" w:rsidRDefault="00E64258" w:rsidP="00D91251">
      <w:pPr>
        <w:pStyle w:val="ust"/>
        <w:numPr>
          <w:ilvl w:val="0"/>
          <w:numId w:val="4"/>
        </w:numPr>
        <w:tabs>
          <w:tab w:val="left" w:pos="330"/>
        </w:tabs>
        <w:spacing w:before="0" w:after="0" w:line="240" w:lineRule="auto"/>
        <w:rPr>
          <w:rFonts w:asciiTheme="minorHAnsi" w:hAnsiTheme="minorHAnsi" w:cstheme="minorHAnsi"/>
        </w:rPr>
      </w:pPr>
      <w:r w:rsidRPr="00D91251">
        <w:rPr>
          <w:rFonts w:asciiTheme="minorHAnsi" w:hAnsiTheme="minorHAnsi" w:cstheme="minorHAnsi"/>
        </w:rPr>
        <w:t>Oddział Terapii Uzależnionych od Alkoholu, w tym Osób z Innymi Dysfunkcjami,</w:t>
      </w:r>
    </w:p>
    <w:p w14:paraId="0A005333" w14:textId="77777777" w:rsidR="00D91251" w:rsidRPr="00D91251" w:rsidRDefault="00D91251" w:rsidP="00D91251">
      <w:pPr>
        <w:pStyle w:val="ust"/>
        <w:tabs>
          <w:tab w:val="left" w:pos="330"/>
        </w:tabs>
        <w:spacing w:before="0" w:after="0" w:line="240" w:lineRule="auto"/>
        <w:ind w:left="213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Oddziały dzienne</w:t>
      </w:r>
    </w:p>
    <w:p w14:paraId="49848346" w14:textId="77777777" w:rsidR="00E64258" w:rsidRPr="00D91251" w:rsidRDefault="00E64258" w:rsidP="00D91251">
      <w:pPr>
        <w:pStyle w:val="ust"/>
        <w:numPr>
          <w:ilvl w:val="0"/>
          <w:numId w:val="4"/>
        </w:numPr>
        <w:tabs>
          <w:tab w:val="left" w:pos="330"/>
        </w:tabs>
        <w:spacing w:before="0" w:after="0" w:line="240" w:lineRule="auto"/>
        <w:rPr>
          <w:rFonts w:asciiTheme="minorHAnsi" w:hAnsiTheme="minorHAnsi" w:cstheme="minorHAnsi"/>
        </w:rPr>
      </w:pPr>
      <w:r w:rsidRPr="00D91251">
        <w:rPr>
          <w:rFonts w:asciiTheme="minorHAnsi" w:hAnsiTheme="minorHAnsi" w:cstheme="minorHAnsi"/>
        </w:rPr>
        <w:t>Dzienny Oddział Psychiatryczny Kraków-Podgórze I,</w:t>
      </w:r>
    </w:p>
    <w:p w14:paraId="7BACF3A9" w14:textId="77777777" w:rsidR="00E64258" w:rsidRPr="00D91251" w:rsidRDefault="00E64258" w:rsidP="00D91251">
      <w:pPr>
        <w:pStyle w:val="ust"/>
        <w:numPr>
          <w:ilvl w:val="0"/>
          <w:numId w:val="4"/>
        </w:numPr>
        <w:tabs>
          <w:tab w:val="left" w:pos="330"/>
        </w:tabs>
        <w:spacing w:before="0" w:after="0" w:line="240" w:lineRule="auto"/>
        <w:rPr>
          <w:rFonts w:asciiTheme="minorHAnsi" w:hAnsiTheme="minorHAnsi" w:cstheme="minorHAnsi"/>
        </w:rPr>
      </w:pPr>
      <w:r w:rsidRPr="00D91251">
        <w:rPr>
          <w:rFonts w:asciiTheme="minorHAnsi" w:hAnsiTheme="minorHAnsi" w:cstheme="minorHAnsi"/>
        </w:rPr>
        <w:t>Dzienny Oddział Psychiatryczny Rehabilitacyjny Kraków – Podgórze II,</w:t>
      </w:r>
    </w:p>
    <w:p w14:paraId="350C956E" w14:textId="77777777" w:rsidR="00E64258" w:rsidRPr="00D91251" w:rsidRDefault="00E64258" w:rsidP="00D91251">
      <w:pPr>
        <w:pStyle w:val="ust"/>
        <w:numPr>
          <w:ilvl w:val="0"/>
          <w:numId w:val="4"/>
        </w:numPr>
        <w:tabs>
          <w:tab w:val="left" w:pos="330"/>
        </w:tabs>
        <w:spacing w:before="0" w:after="0" w:line="240" w:lineRule="auto"/>
        <w:rPr>
          <w:rFonts w:asciiTheme="minorHAnsi" w:hAnsiTheme="minorHAnsi" w:cstheme="minorHAnsi"/>
        </w:rPr>
      </w:pPr>
      <w:r w:rsidRPr="00D91251">
        <w:rPr>
          <w:rFonts w:asciiTheme="minorHAnsi" w:hAnsiTheme="minorHAnsi" w:cstheme="minorHAnsi"/>
        </w:rPr>
        <w:t>Dzienny Oddział Psychiatryczny Rehabilitacyjny Kraków-Krowodrza,</w:t>
      </w:r>
    </w:p>
    <w:p w14:paraId="3ECD5A54" w14:textId="77777777" w:rsidR="00E64258" w:rsidRPr="00D91251" w:rsidRDefault="00E64258" w:rsidP="00D91251">
      <w:pPr>
        <w:pStyle w:val="ust"/>
        <w:numPr>
          <w:ilvl w:val="0"/>
          <w:numId w:val="4"/>
        </w:numPr>
        <w:tabs>
          <w:tab w:val="left" w:pos="330"/>
        </w:tabs>
        <w:spacing w:before="0" w:after="0" w:line="240" w:lineRule="auto"/>
        <w:rPr>
          <w:rFonts w:asciiTheme="minorHAnsi" w:hAnsiTheme="minorHAnsi" w:cstheme="minorHAnsi"/>
        </w:rPr>
      </w:pPr>
      <w:r w:rsidRPr="00D91251">
        <w:rPr>
          <w:rFonts w:asciiTheme="minorHAnsi" w:hAnsiTheme="minorHAnsi" w:cstheme="minorHAnsi"/>
        </w:rPr>
        <w:t>Dzienny Oddział Psychiatryczny Kraków-Nowa Huta,</w:t>
      </w:r>
    </w:p>
    <w:p w14:paraId="670F1949" w14:textId="77777777" w:rsidR="00E64258" w:rsidRPr="00D91251" w:rsidRDefault="00E64258" w:rsidP="00D91251">
      <w:pPr>
        <w:pStyle w:val="ust"/>
        <w:numPr>
          <w:ilvl w:val="0"/>
          <w:numId w:val="4"/>
        </w:numPr>
        <w:tabs>
          <w:tab w:val="left" w:pos="330"/>
        </w:tabs>
        <w:spacing w:before="0" w:after="0" w:line="240" w:lineRule="auto"/>
        <w:rPr>
          <w:rFonts w:asciiTheme="minorHAnsi" w:hAnsiTheme="minorHAnsi" w:cstheme="minorHAnsi"/>
        </w:rPr>
      </w:pPr>
      <w:r w:rsidRPr="00D91251">
        <w:rPr>
          <w:rFonts w:asciiTheme="minorHAnsi" w:hAnsiTheme="minorHAnsi" w:cstheme="minorHAnsi"/>
        </w:rPr>
        <w:t>Dzienny Oddział Psychiatryczny Myślenice,</w:t>
      </w:r>
    </w:p>
    <w:p w14:paraId="4949FE61" w14:textId="77777777" w:rsidR="00E64258" w:rsidRPr="00D91251" w:rsidRDefault="00E64258" w:rsidP="00D91251">
      <w:pPr>
        <w:pStyle w:val="ust"/>
        <w:numPr>
          <w:ilvl w:val="0"/>
          <w:numId w:val="4"/>
        </w:numPr>
        <w:tabs>
          <w:tab w:val="left" w:pos="330"/>
        </w:tabs>
        <w:spacing w:before="0" w:after="0" w:line="240" w:lineRule="auto"/>
        <w:rPr>
          <w:rFonts w:asciiTheme="minorHAnsi" w:hAnsiTheme="minorHAnsi" w:cstheme="minorHAnsi"/>
        </w:rPr>
      </w:pPr>
      <w:r w:rsidRPr="00D91251">
        <w:rPr>
          <w:rFonts w:asciiTheme="minorHAnsi" w:hAnsiTheme="minorHAnsi" w:cstheme="minorHAnsi"/>
        </w:rPr>
        <w:t>Dzienny Oddział Psychiatryczny Skawina,</w:t>
      </w:r>
    </w:p>
    <w:p w14:paraId="36B0A88E" w14:textId="77777777" w:rsidR="00E64258" w:rsidRPr="00D91251" w:rsidRDefault="00E64258" w:rsidP="00D91251">
      <w:pPr>
        <w:pStyle w:val="ust"/>
        <w:numPr>
          <w:ilvl w:val="0"/>
          <w:numId w:val="4"/>
        </w:numPr>
        <w:tabs>
          <w:tab w:val="left" w:pos="330"/>
        </w:tabs>
        <w:spacing w:before="0" w:after="0" w:line="240" w:lineRule="auto"/>
        <w:rPr>
          <w:rFonts w:asciiTheme="minorHAnsi" w:hAnsiTheme="minorHAnsi" w:cstheme="minorHAnsi"/>
        </w:rPr>
      </w:pPr>
      <w:r w:rsidRPr="00D91251">
        <w:rPr>
          <w:rFonts w:asciiTheme="minorHAnsi" w:hAnsiTheme="minorHAnsi" w:cstheme="minorHAnsi"/>
        </w:rPr>
        <w:t>Dzienny Oddział Psychiatryczny Rehabilitacyjny dla Dzieci i Młodzieży I,</w:t>
      </w:r>
      <w:bookmarkEnd w:id="1"/>
    </w:p>
    <w:p w14:paraId="323F16D8" w14:textId="77777777" w:rsidR="009363F5" w:rsidRPr="00D91251" w:rsidRDefault="00B84AD1" w:rsidP="00D91251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P</w:t>
      </w:r>
      <w:r w:rsidR="00136AFA" w:rsidRPr="00D91251">
        <w:rPr>
          <w:rFonts w:cstheme="minorHAnsi"/>
          <w:sz w:val="24"/>
          <w:szCs w:val="24"/>
        </w:rPr>
        <w:t>rzyjęcia w Izbie Przyjęć odbywają się całodobowo we wszystkie dni tygodnia.</w:t>
      </w:r>
    </w:p>
    <w:p w14:paraId="395C2C58" w14:textId="77777777" w:rsidR="00136AFA" w:rsidRPr="00D91251" w:rsidRDefault="00136AFA" w:rsidP="00D91251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 xml:space="preserve">Pacjenci, którzy mają wyznaczony termin planowanego przyjęcia do oddziału wskazanego </w:t>
      </w:r>
    </w:p>
    <w:p w14:paraId="201DF793" w14:textId="77777777" w:rsidR="00136AFA" w:rsidRPr="00D91251" w:rsidRDefault="00136AFA" w:rsidP="00D91251">
      <w:pPr>
        <w:pStyle w:val="Akapitzlist"/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w pkt.1, pkt 2), zgłaszają się bezpośrednio do określonej komórki orga</w:t>
      </w:r>
      <w:r w:rsidR="00757C78" w:rsidRPr="00D91251">
        <w:rPr>
          <w:rFonts w:cstheme="minorHAnsi"/>
          <w:sz w:val="24"/>
          <w:szCs w:val="24"/>
        </w:rPr>
        <w:t>nizacyjnej (z pominięciem IP) w </w:t>
      </w:r>
      <w:r w:rsidRPr="00D91251">
        <w:rPr>
          <w:rFonts w:cstheme="minorHAnsi"/>
          <w:sz w:val="24"/>
          <w:szCs w:val="24"/>
        </w:rPr>
        <w:t>godzinach 8.00-14.30.</w:t>
      </w:r>
    </w:p>
    <w:p w14:paraId="38AF8072" w14:textId="77777777" w:rsidR="00D91251" w:rsidRPr="00D91251" w:rsidRDefault="00D91251" w:rsidP="00D91251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 xml:space="preserve">Pacjent potwierdza swoją tożsamość przez okazanie dowodu osobistego, paszportu, prawa jazdy, legitymacji szkolnej albo przy użyciu dokumentu </w:t>
      </w:r>
      <w:proofErr w:type="spellStart"/>
      <w:r w:rsidRPr="00D91251">
        <w:rPr>
          <w:rFonts w:cstheme="minorHAnsi"/>
          <w:sz w:val="24"/>
          <w:szCs w:val="24"/>
        </w:rPr>
        <w:t>mObywatel</w:t>
      </w:r>
      <w:proofErr w:type="spellEnd"/>
      <w:r w:rsidRPr="00D91251">
        <w:rPr>
          <w:rFonts w:cstheme="minorHAnsi"/>
          <w:sz w:val="24"/>
          <w:szCs w:val="24"/>
        </w:rPr>
        <w:t>. Legitymacja szkolna może być okazana jedynie przez osobę, która nie ukończyła 18 roku życia.</w:t>
      </w:r>
    </w:p>
    <w:p w14:paraId="3FDF582D" w14:textId="77777777" w:rsidR="00AD1C4A" w:rsidRPr="00D91251" w:rsidRDefault="00AD1C4A" w:rsidP="00D91251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Podczas przyjęcia w dniu zgłoszenia pacjent powinien mieć przy sobie dokument potwierdzający tożsamość wraz z numerem PESEL.</w:t>
      </w:r>
    </w:p>
    <w:p w14:paraId="76468A1D" w14:textId="77777777" w:rsidR="00AD1C4A" w:rsidRPr="00D91251" w:rsidRDefault="00AD1C4A" w:rsidP="00D91251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Do oddziałów stacjonarnych i dziennych Szpitala Babińskiego pacje</w:t>
      </w:r>
      <w:r w:rsidR="00757C78" w:rsidRPr="00D91251">
        <w:rPr>
          <w:rFonts w:cstheme="minorHAnsi"/>
          <w:sz w:val="24"/>
          <w:szCs w:val="24"/>
        </w:rPr>
        <w:t>nci nieplanowi przyjmowani są w </w:t>
      </w:r>
      <w:r w:rsidRPr="00D91251">
        <w:rPr>
          <w:rFonts w:cstheme="minorHAnsi"/>
          <w:sz w:val="24"/>
          <w:szCs w:val="24"/>
        </w:rPr>
        <w:t>dniu zgłoszenia, natomiast pacjenci planowi według ustalonego terminu przyjęcia.</w:t>
      </w:r>
    </w:p>
    <w:p w14:paraId="0B2D7D97" w14:textId="77777777" w:rsidR="00682A10" w:rsidRPr="00D91251" w:rsidRDefault="00AD1C4A" w:rsidP="00D91251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W przypadku braku możliwości przyjęcia pacjenta w dniu zgłoszenia z powodu braku wolnych miejsc, pacjent zostaje wpisany na listę oczekujących zgodnie z Procedurą ISO P-02_11 – Prowadzenie list oczekujących.</w:t>
      </w:r>
    </w:p>
    <w:p w14:paraId="6B37B17D" w14:textId="77777777" w:rsidR="00682A10" w:rsidRPr="00D91251" w:rsidRDefault="00AD1C4A" w:rsidP="00D91251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 xml:space="preserve">Na liście oczekujących na przyjęcie nie umieszcza się pacjentów kontynuujących leczenie </w:t>
      </w:r>
      <w:r w:rsidR="00682A10" w:rsidRPr="00D91251">
        <w:rPr>
          <w:rFonts w:cstheme="minorHAnsi"/>
          <w:sz w:val="24"/>
          <w:szCs w:val="24"/>
        </w:rPr>
        <w:t>w </w:t>
      </w:r>
      <w:r w:rsidRPr="00D91251">
        <w:rPr>
          <w:rFonts w:cstheme="minorHAnsi"/>
          <w:sz w:val="24"/>
          <w:szCs w:val="24"/>
        </w:rPr>
        <w:t>Szpitalu Babińskiego.</w:t>
      </w:r>
    </w:p>
    <w:p w14:paraId="52A10BFC" w14:textId="77777777" w:rsidR="00823BB8" w:rsidRPr="00D91251" w:rsidRDefault="00823BB8" w:rsidP="00D91251">
      <w:pPr>
        <w:pStyle w:val="Akapitzlist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 xml:space="preserve">Prawo </w:t>
      </w:r>
      <w:r w:rsidR="00863987" w:rsidRPr="00D91251">
        <w:rPr>
          <w:rFonts w:cstheme="minorHAnsi"/>
          <w:sz w:val="24"/>
          <w:szCs w:val="24"/>
        </w:rPr>
        <w:t>do korzystania</w:t>
      </w:r>
      <w:r w:rsidRPr="00D91251">
        <w:rPr>
          <w:rFonts w:cstheme="minorHAnsi"/>
          <w:sz w:val="24"/>
          <w:szCs w:val="24"/>
        </w:rPr>
        <w:t xml:space="preserve"> ze świadczeń opieki zdrowotnej udzielanych przez Szpital Babińskiego poza kolejnością mają:</w:t>
      </w:r>
    </w:p>
    <w:p w14:paraId="07559AE4" w14:textId="77777777" w:rsidR="00823BB8" w:rsidRPr="00D91251" w:rsidRDefault="00823BB8" w:rsidP="00D9125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kobiety w ciąży,</w:t>
      </w:r>
    </w:p>
    <w:p w14:paraId="7A23D638" w14:textId="77777777" w:rsidR="00823BB8" w:rsidRPr="00D91251" w:rsidRDefault="00823BB8" w:rsidP="00D9125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lastRenderedPageBreak/>
        <w:t>świadczeniobiorcy do 18 roku życia, u których stwierdzono ciężkie i nieodwracalne upośledzenie albo nieuleczalną chorobę zagrażającą życiu, które powstały w prenatalnym okresie rozwoju dziecka lub w czasie porodu,</w:t>
      </w:r>
    </w:p>
    <w:p w14:paraId="4BDE27CA" w14:textId="77777777" w:rsidR="00823BB8" w:rsidRPr="00D91251" w:rsidRDefault="00823BB8" w:rsidP="00D9125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 xml:space="preserve">świadczeniobiorcy posiadający orzeczenie o </w:t>
      </w:r>
      <w:r w:rsidRPr="00D91251">
        <w:rPr>
          <w:rStyle w:val="Uwydatnienie"/>
          <w:rFonts w:cstheme="minorHAnsi"/>
          <w:sz w:val="24"/>
          <w:szCs w:val="24"/>
        </w:rPr>
        <w:t>znacznym stopniu niepełnosprawności lub orzeczenie o niepełnosprawności łącznie ze wskazaniami: konieczności stałej lub długotrwałej opieki lub pomocy innej osoby w związku ze znacznie ograniczoną możliwością samodzielnej egzystencji oraz konieczności stałego współudziału, na co dzień opiekuna dziecka w procesie jego leczenia, rehabilitacji i edukacji,</w:t>
      </w:r>
    </w:p>
    <w:p w14:paraId="24A95D8E" w14:textId="77777777" w:rsidR="00823BB8" w:rsidRPr="00D91251" w:rsidRDefault="00823BB8" w:rsidP="00D9125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świadczeniobiorcy, którzy posiadają tytuł Zasłużonego  Honorowego  Dawcy  Krwi  lub  Zasłużonego Dawcy Przeszczepu,</w:t>
      </w:r>
    </w:p>
    <w:p w14:paraId="1076DD04" w14:textId="77777777" w:rsidR="00823BB8" w:rsidRPr="00D91251" w:rsidRDefault="00823BB8" w:rsidP="00D9125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inwalidzi wojenni, inwalidzi wojskowi,</w:t>
      </w:r>
    </w:p>
    <w:p w14:paraId="3B09A06B" w14:textId="77777777" w:rsidR="00823BB8" w:rsidRPr="00D91251" w:rsidRDefault="00823BB8" w:rsidP="00D9125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żołnierze zastępczej służby wojskowej,</w:t>
      </w:r>
    </w:p>
    <w:p w14:paraId="7B5C0B06" w14:textId="77777777" w:rsidR="00823BB8" w:rsidRPr="00D91251" w:rsidRDefault="00823BB8" w:rsidP="00D9125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cywilne niewidome ofiary działań wojennych,</w:t>
      </w:r>
    </w:p>
    <w:p w14:paraId="151FE370" w14:textId="77777777" w:rsidR="00823BB8" w:rsidRPr="00D91251" w:rsidRDefault="00823BB8" w:rsidP="00D9125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kombatanci,</w:t>
      </w:r>
    </w:p>
    <w:p w14:paraId="0364F5B7" w14:textId="77777777" w:rsidR="00823BB8" w:rsidRPr="00D91251" w:rsidRDefault="00823BB8" w:rsidP="00D9125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 xml:space="preserve">działacze opozycji antykomunistycznej i </w:t>
      </w:r>
      <w:r w:rsidRPr="00D91251">
        <w:rPr>
          <w:rStyle w:val="Uwydatnienie"/>
          <w:rFonts w:cstheme="minorHAnsi"/>
          <w:sz w:val="24"/>
          <w:szCs w:val="24"/>
        </w:rPr>
        <w:t>osoby</w:t>
      </w:r>
      <w:r w:rsidRPr="00D91251">
        <w:rPr>
          <w:rFonts w:cstheme="minorHAnsi"/>
          <w:sz w:val="24"/>
          <w:szCs w:val="24"/>
        </w:rPr>
        <w:t xml:space="preserve"> represjonowane z powodów politycznych,</w:t>
      </w:r>
    </w:p>
    <w:p w14:paraId="53331F88" w14:textId="77777777" w:rsidR="00823BB8" w:rsidRPr="00D91251" w:rsidRDefault="00823BB8" w:rsidP="00D91251">
      <w:pPr>
        <w:pStyle w:val="Akapitzlist"/>
        <w:widowControl w:val="0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uprawnieni żołnierze i pracownicy, których ustalony procentowy uszczerbek na zdrowiu wynosi, co najmniej 30%,</w:t>
      </w:r>
    </w:p>
    <w:p w14:paraId="6B4D8B21" w14:textId="77777777" w:rsidR="00823BB8" w:rsidRPr="00D91251" w:rsidRDefault="00823BB8" w:rsidP="00D91251">
      <w:pPr>
        <w:pStyle w:val="Akapitzlist"/>
        <w:widowControl w:val="0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weterani poszkodowani, których ustalony procentowy uszczerbek na zdrowiu wynosi, co najmniej 30%,</w:t>
      </w:r>
    </w:p>
    <w:p w14:paraId="18DF7251" w14:textId="77777777" w:rsidR="00823BB8" w:rsidRPr="00D91251" w:rsidRDefault="00823BB8" w:rsidP="00D91251">
      <w:pPr>
        <w:pStyle w:val="Akapitzlist"/>
        <w:widowControl w:val="0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osoby deportowane do pracy przymusowej,</w:t>
      </w:r>
    </w:p>
    <w:p w14:paraId="4F3154AF" w14:textId="77777777" w:rsidR="00823BB8" w:rsidRPr="00F420A4" w:rsidRDefault="00823BB8" w:rsidP="00D91251">
      <w:pPr>
        <w:pStyle w:val="Akapitzlist"/>
        <w:widowControl w:val="0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dawcy krwi, którzy oddali co najmniej 3 donacje krwi lub jej składników, w tym osocza po chorobie COVID-19 - na podstawie zaświadczenia, o którym mowa w art. 9a ust. 3 ustawy z dnia 22 sierpnia 1997 r. o publicznej służbie krwi,</w:t>
      </w:r>
    </w:p>
    <w:p w14:paraId="328A8D73" w14:textId="77777777" w:rsidR="00823BB8" w:rsidRPr="00D91251" w:rsidRDefault="00823BB8" w:rsidP="00D91251">
      <w:pPr>
        <w:pStyle w:val="Akapitzlist"/>
        <w:widowControl w:val="0"/>
        <w:numPr>
          <w:ilvl w:val="0"/>
          <w:numId w:val="10"/>
        </w:numPr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F420A4">
        <w:rPr>
          <w:rFonts w:cstheme="minorHAnsi"/>
          <w:sz w:val="24"/>
          <w:szCs w:val="24"/>
          <w:shd w:val="clear" w:color="auto" w:fill="FFFFFF"/>
        </w:rPr>
        <w:t xml:space="preserve">osoby, które legitymują się zaświadczeniem, o którym mowa w </w:t>
      </w:r>
      <w:hyperlink r:id="rId6" w:anchor="/document/17532755?unitId=art(67(zb))&amp;cm=DOCUMENT" w:history="1">
        <w:r w:rsidRPr="00F420A4">
          <w:rPr>
            <w:rStyle w:val="Hipercze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art. 67zb</w:t>
        </w:r>
      </w:hyperlink>
      <w:r w:rsidRPr="00F420A4">
        <w:rPr>
          <w:rFonts w:cstheme="minorHAnsi"/>
          <w:sz w:val="24"/>
          <w:szCs w:val="24"/>
          <w:shd w:val="clear" w:color="auto" w:fill="FFFFFF"/>
        </w:rPr>
        <w:t xml:space="preserve"> ustawy z dnia 6 listopada 2008 r. o prawach pacjenta i Rzeczniku Praw Pacjenta, przez okres wskazany w tym zaświadczeniu, nie dłużej niż 5 lat od dnia wydania zaświadczenia </w:t>
      </w:r>
      <w:r w:rsidRPr="00D91251">
        <w:rPr>
          <w:rFonts w:cstheme="minorHAnsi"/>
          <w:sz w:val="24"/>
          <w:szCs w:val="24"/>
          <w:shd w:val="clear" w:color="auto" w:fill="FFFFFF"/>
        </w:rPr>
        <w:t xml:space="preserve">(o przyznaniu świadczenia kompensacyjnego). </w:t>
      </w:r>
    </w:p>
    <w:p w14:paraId="08614062" w14:textId="77777777" w:rsidR="00757C78" w:rsidRPr="00D91251" w:rsidRDefault="00757C78" w:rsidP="00D91251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 xml:space="preserve">Pacjent, który nie może stawić się do oddziału w ustalonym terminie lub zrezygnował ze świadczenia opieki zdrowotnej jest obowiązany niezwłocznie powiadomić o tym Szpital Babińskiego. </w:t>
      </w:r>
    </w:p>
    <w:p w14:paraId="15EFADA5" w14:textId="77777777" w:rsidR="00757C78" w:rsidRPr="00D91251" w:rsidRDefault="00757C78" w:rsidP="00D91251">
      <w:pPr>
        <w:pStyle w:val="Akapitzlist"/>
        <w:numPr>
          <w:ilvl w:val="0"/>
          <w:numId w:val="5"/>
        </w:numPr>
        <w:spacing w:after="0"/>
        <w:contextualSpacing w:val="0"/>
        <w:jc w:val="both"/>
        <w:rPr>
          <w:rFonts w:cstheme="minorHAnsi"/>
          <w:sz w:val="24"/>
          <w:szCs w:val="24"/>
        </w:rPr>
      </w:pPr>
      <w:r w:rsidRPr="00D91251">
        <w:rPr>
          <w:rFonts w:cstheme="minorHAnsi"/>
          <w:sz w:val="24"/>
          <w:szCs w:val="24"/>
        </w:rPr>
        <w:t>Pacjent powinien także powiadomić Szpital Babińskiego o wszelkich zmianach adresu, numeru telefonu, adresu poczty elektronicznej, które podał przy wpisywaniu się na listę oczekujących. Brak aktualnych informacji utrudni lub uniemożliwi kontakt z pacjentem, w celu np. powiadomienia o zmianie planowanego terminu udzielenia świadczenia. Jeżeli pacjent nie stawi się w Szpitalu Babińskiego w wyznaczonym dniu bez powiadomienia, zostaje skreślony z listy oczekujących.</w:t>
      </w:r>
    </w:p>
    <w:p w14:paraId="26E555B4" w14:textId="77777777" w:rsidR="00757C78" w:rsidRPr="00D91251" w:rsidRDefault="00757C78" w:rsidP="00D91251">
      <w:pPr>
        <w:pStyle w:val="Akapitzlist"/>
        <w:spacing w:after="0"/>
        <w:contextualSpacing w:val="0"/>
        <w:jc w:val="both"/>
        <w:rPr>
          <w:rFonts w:cstheme="minorHAnsi"/>
          <w:sz w:val="24"/>
          <w:szCs w:val="24"/>
        </w:rPr>
      </w:pPr>
    </w:p>
    <w:p w14:paraId="4715AE29" w14:textId="77777777" w:rsidR="00757C78" w:rsidRPr="00D91251" w:rsidRDefault="00757C78" w:rsidP="00757C78">
      <w:pPr>
        <w:jc w:val="both"/>
        <w:rPr>
          <w:rFonts w:cstheme="minorHAnsi"/>
          <w:sz w:val="24"/>
          <w:szCs w:val="24"/>
        </w:rPr>
      </w:pPr>
    </w:p>
    <w:p w14:paraId="25C73795" w14:textId="77777777" w:rsidR="00AD1C4A" w:rsidRPr="00757C78" w:rsidRDefault="00AD1C4A" w:rsidP="00AD1C4A">
      <w:pPr>
        <w:jc w:val="both"/>
      </w:pPr>
    </w:p>
    <w:sectPr w:rsidR="00AD1C4A" w:rsidRPr="00757C78" w:rsidSect="00D9125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Num29"/>
    <w:lvl w:ilvl="0">
      <w:start w:val="1"/>
      <w:numFmt w:val="bullet"/>
      <w:lvlText w:val="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/>
      </w:rPr>
    </w:lvl>
  </w:abstractNum>
  <w:abstractNum w:abstractNumId="1" w15:restartNumberingAfterBreak="0">
    <w:nsid w:val="0A3712E6"/>
    <w:multiLevelType w:val="hybridMultilevel"/>
    <w:tmpl w:val="8A88F16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7676C5"/>
    <w:multiLevelType w:val="hybridMultilevel"/>
    <w:tmpl w:val="5E60F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466D8"/>
    <w:multiLevelType w:val="hybridMultilevel"/>
    <w:tmpl w:val="0F904452"/>
    <w:lvl w:ilvl="0" w:tplc="41D01ECA">
      <w:start w:val="1"/>
      <w:numFmt w:val="decimal"/>
      <w:lvlText w:val="5.3.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E3512"/>
    <w:multiLevelType w:val="multilevel"/>
    <w:tmpl w:val="E3FE08B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E937FD7"/>
    <w:multiLevelType w:val="multilevel"/>
    <w:tmpl w:val="6FA69D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656"/>
        </w:tabs>
        <w:ind w:left="1656" w:hanging="360"/>
      </w:pPr>
    </w:lvl>
    <w:lvl w:ilvl="2">
      <w:start w:val="1"/>
      <w:numFmt w:val="decimal"/>
      <w:lvlText w:val="%3."/>
      <w:lvlJc w:val="left"/>
      <w:pPr>
        <w:tabs>
          <w:tab w:val="num" w:pos="2016"/>
        </w:tabs>
        <w:ind w:left="2016" w:hanging="360"/>
      </w:pPr>
    </w:lvl>
    <w:lvl w:ilvl="3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>
      <w:start w:val="1"/>
      <w:numFmt w:val="decimal"/>
      <w:lvlText w:val="%5."/>
      <w:lvlJc w:val="left"/>
      <w:pPr>
        <w:tabs>
          <w:tab w:val="num" w:pos="2736"/>
        </w:tabs>
        <w:ind w:left="2736" w:hanging="360"/>
      </w:pPr>
    </w:lvl>
    <w:lvl w:ilvl="5">
      <w:start w:val="1"/>
      <w:numFmt w:val="decimal"/>
      <w:lvlText w:val="%6."/>
      <w:lvlJc w:val="left"/>
      <w:pPr>
        <w:tabs>
          <w:tab w:val="num" w:pos="3096"/>
        </w:tabs>
        <w:ind w:left="3096" w:hanging="360"/>
      </w:pPr>
    </w:lvl>
    <w:lvl w:ilvl="6">
      <w:start w:val="1"/>
      <w:numFmt w:val="decimal"/>
      <w:lvlText w:val="%7."/>
      <w:lvlJc w:val="left"/>
      <w:pPr>
        <w:tabs>
          <w:tab w:val="num" w:pos="3456"/>
        </w:tabs>
        <w:ind w:left="3456" w:hanging="360"/>
      </w:pPr>
    </w:lvl>
    <w:lvl w:ilvl="7">
      <w:start w:val="1"/>
      <w:numFmt w:val="decimal"/>
      <w:lvlText w:val="%8."/>
      <w:lvlJc w:val="left"/>
      <w:pPr>
        <w:tabs>
          <w:tab w:val="num" w:pos="3816"/>
        </w:tabs>
        <w:ind w:left="3816" w:hanging="360"/>
      </w:pPr>
    </w:lvl>
    <w:lvl w:ilvl="8">
      <w:start w:val="1"/>
      <w:numFmt w:val="decimal"/>
      <w:lvlText w:val="%9."/>
      <w:lvlJc w:val="left"/>
      <w:pPr>
        <w:tabs>
          <w:tab w:val="num" w:pos="4176"/>
        </w:tabs>
        <w:ind w:left="4176" w:hanging="360"/>
      </w:pPr>
    </w:lvl>
  </w:abstractNum>
  <w:abstractNum w:abstractNumId="6" w15:restartNumberingAfterBreak="0">
    <w:nsid w:val="2FE344C2"/>
    <w:multiLevelType w:val="hybridMultilevel"/>
    <w:tmpl w:val="8A88F16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F36F81"/>
    <w:multiLevelType w:val="hybridMultilevel"/>
    <w:tmpl w:val="0614B0F4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65E7569"/>
    <w:multiLevelType w:val="hybridMultilevel"/>
    <w:tmpl w:val="21C6F838"/>
    <w:lvl w:ilvl="0" w:tplc="2FFC2564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3F4F7F48"/>
    <w:multiLevelType w:val="hybridMultilevel"/>
    <w:tmpl w:val="8A88F16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4B7FB2"/>
    <w:multiLevelType w:val="hybridMultilevel"/>
    <w:tmpl w:val="2C6EC88E"/>
    <w:lvl w:ilvl="0" w:tplc="2FFC2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B02E56"/>
    <w:multiLevelType w:val="hybridMultilevel"/>
    <w:tmpl w:val="8A88F16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E91151"/>
    <w:multiLevelType w:val="hybridMultilevel"/>
    <w:tmpl w:val="8A88F16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B60256"/>
    <w:multiLevelType w:val="hybridMultilevel"/>
    <w:tmpl w:val="E90C1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0075A"/>
    <w:multiLevelType w:val="hybridMultilevel"/>
    <w:tmpl w:val="542452E4"/>
    <w:lvl w:ilvl="0" w:tplc="1222F530">
      <w:start w:val="1"/>
      <w:numFmt w:val="decimal"/>
      <w:lvlText w:val="5.1.%1"/>
      <w:lvlJc w:val="center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83CD2"/>
    <w:multiLevelType w:val="hybridMultilevel"/>
    <w:tmpl w:val="12D8671E"/>
    <w:lvl w:ilvl="0" w:tplc="20189CC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1651FC"/>
    <w:multiLevelType w:val="hybridMultilevel"/>
    <w:tmpl w:val="E99E01F8"/>
    <w:lvl w:ilvl="0" w:tplc="2FFC2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1E4D93"/>
    <w:multiLevelType w:val="hybridMultilevel"/>
    <w:tmpl w:val="2646AEF8"/>
    <w:lvl w:ilvl="0" w:tplc="C17420CC">
      <w:start w:val="1"/>
      <w:numFmt w:val="decimal"/>
      <w:lvlText w:val="5.2.%1"/>
      <w:lvlJc w:val="center"/>
      <w:pPr>
        <w:ind w:left="360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10A08"/>
    <w:multiLevelType w:val="hybridMultilevel"/>
    <w:tmpl w:val="163C6E22"/>
    <w:lvl w:ilvl="0" w:tplc="2FFC2564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8"/>
  </w:num>
  <w:num w:numId="5">
    <w:abstractNumId w:val="13"/>
  </w:num>
  <w:num w:numId="6">
    <w:abstractNumId w:val="16"/>
  </w:num>
  <w:num w:numId="7">
    <w:abstractNumId w:val="2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4"/>
  </w:num>
  <w:num w:numId="13">
    <w:abstractNumId w:val="14"/>
  </w:num>
  <w:num w:numId="14">
    <w:abstractNumId w:val="17"/>
  </w:num>
  <w:num w:numId="15">
    <w:abstractNumId w:val="1"/>
  </w:num>
  <w:num w:numId="16">
    <w:abstractNumId w:val="6"/>
  </w:num>
  <w:num w:numId="17">
    <w:abstractNumId w:val="12"/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4A"/>
    <w:rsid w:val="00136AFA"/>
    <w:rsid w:val="001A7AE3"/>
    <w:rsid w:val="00221AE4"/>
    <w:rsid w:val="00302D18"/>
    <w:rsid w:val="00344C27"/>
    <w:rsid w:val="003B6F2A"/>
    <w:rsid w:val="003D5B2F"/>
    <w:rsid w:val="004E7735"/>
    <w:rsid w:val="005524A9"/>
    <w:rsid w:val="00585520"/>
    <w:rsid w:val="00682A10"/>
    <w:rsid w:val="00702129"/>
    <w:rsid w:val="00757C78"/>
    <w:rsid w:val="0081494E"/>
    <w:rsid w:val="00823BB8"/>
    <w:rsid w:val="00863987"/>
    <w:rsid w:val="009363F5"/>
    <w:rsid w:val="009775CB"/>
    <w:rsid w:val="009C7CA8"/>
    <w:rsid w:val="00A12837"/>
    <w:rsid w:val="00A760DF"/>
    <w:rsid w:val="00A975CC"/>
    <w:rsid w:val="00AB5E42"/>
    <w:rsid w:val="00AD1C4A"/>
    <w:rsid w:val="00B84AD1"/>
    <w:rsid w:val="00D25F0F"/>
    <w:rsid w:val="00D91251"/>
    <w:rsid w:val="00E1593F"/>
    <w:rsid w:val="00E64258"/>
    <w:rsid w:val="00EF696A"/>
    <w:rsid w:val="00F4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F85B"/>
  <w15:docId w15:val="{77949D63-C61F-425A-AF40-4E76608F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02D18"/>
    <w:pPr>
      <w:keepNext/>
      <w:numPr>
        <w:numId w:val="12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02D18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02D18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02D18"/>
    <w:pPr>
      <w:keepNext/>
      <w:numPr>
        <w:ilvl w:val="3"/>
        <w:numId w:val="1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02D18"/>
    <w:pPr>
      <w:keepNext/>
      <w:numPr>
        <w:ilvl w:val="4"/>
        <w:numId w:val="1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02D18"/>
    <w:pPr>
      <w:keepNext/>
      <w:numPr>
        <w:ilvl w:val="5"/>
        <w:numId w:val="1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02D18"/>
    <w:pPr>
      <w:keepNext/>
      <w:keepLines/>
      <w:numPr>
        <w:ilvl w:val="6"/>
        <w:numId w:val="12"/>
      </w:numPr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02D18"/>
    <w:pPr>
      <w:keepNext/>
      <w:keepLines/>
      <w:numPr>
        <w:ilvl w:val="7"/>
        <w:numId w:val="12"/>
      </w:numPr>
      <w:spacing w:before="40" w:after="0" w:line="240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02D18"/>
    <w:pPr>
      <w:keepNext/>
      <w:keepLines/>
      <w:numPr>
        <w:ilvl w:val="8"/>
        <w:numId w:val="12"/>
      </w:numPr>
      <w:spacing w:before="40" w:after="0" w:line="240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C4A"/>
    <w:pPr>
      <w:ind w:left="720"/>
      <w:contextualSpacing/>
    </w:pPr>
  </w:style>
  <w:style w:type="paragraph" w:customStyle="1" w:styleId="ust">
    <w:name w:val="ust"/>
    <w:basedOn w:val="Normalny"/>
    <w:rsid w:val="00E64258"/>
    <w:pPr>
      <w:widowControl w:val="0"/>
      <w:suppressAutoHyphens/>
      <w:spacing w:before="60" w:after="60" w:line="100" w:lineRule="atLeast"/>
      <w:ind w:left="426" w:hanging="284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302D18"/>
    <w:rPr>
      <w:rFonts w:ascii="Times New Roman" w:eastAsia="Times New Roman" w:hAnsi="Times New Roman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02D1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02D18"/>
    <w:rPr>
      <w:rFonts w:ascii="Times New Roman" w:eastAsia="Times New Roman" w:hAnsi="Times New Roman" w:cs="Arial"/>
      <w:b/>
      <w:bCs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02D18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02D1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02D18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302D18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302D18"/>
    <w:rPr>
      <w:rFonts w:ascii="Cambria" w:eastAsia="Times New Roman" w:hAnsi="Cambria" w:cs="Times New Roman"/>
      <w:color w:val="272727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302D18"/>
    <w:rPr>
      <w:rFonts w:ascii="Cambria" w:eastAsia="Times New Roman" w:hAnsi="Cambria" w:cs="Times New Roman"/>
      <w:i/>
      <w:iCs/>
      <w:color w:val="272727"/>
      <w:sz w:val="21"/>
      <w:szCs w:val="21"/>
      <w:lang w:eastAsia="pl-PL"/>
    </w:rPr>
  </w:style>
  <w:style w:type="character" w:styleId="Hipercze">
    <w:name w:val="Hyperlink"/>
    <w:uiPriority w:val="99"/>
    <w:rsid w:val="00302D1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02D1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BB8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21AE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3B6F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5EFF3-9D11-4CE7-BB31-F606BC53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BYRGIEL</dc:creator>
  <cp:lastModifiedBy>MAGDALENA MLOCEK</cp:lastModifiedBy>
  <cp:revision>2</cp:revision>
  <dcterms:created xsi:type="dcterms:W3CDTF">2025-07-30T06:25:00Z</dcterms:created>
  <dcterms:modified xsi:type="dcterms:W3CDTF">2025-07-30T06:25:00Z</dcterms:modified>
</cp:coreProperties>
</file>